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662D" w14:textId="13EFF8F1" w:rsidR="000B03B0" w:rsidRPr="00372E8E" w:rsidRDefault="00846FF4" w:rsidP="00372E8E">
      <w:pPr>
        <w:spacing w:line="360" w:lineRule="auto"/>
        <w:rPr>
          <w:rFonts w:cstheme="minorHAnsi"/>
          <w:iCs/>
        </w:rPr>
      </w:pPr>
      <w:r w:rsidRPr="00372E8E">
        <w:rPr>
          <w:rFonts w:cstheme="minorHAnsi"/>
          <w:iCs/>
        </w:rPr>
        <w:t>Stanowisko przygotowane</w:t>
      </w:r>
      <w:r w:rsidR="000B03B0" w:rsidRPr="00372E8E">
        <w:rPr>
          <w:rFonts w:cstheme="minorHAnsi"/>
          <w:iCs/>
        </w:rPr>
        <w:t xml:space="preserve"> przez </w:t>
      </w:r>
    </w:p>
    <w:p w14:paraId="06C775BC" w14:textId="5E231530" w:rsidR="00E600CA" w:rsidRPr="003335A2" w:rsidRDefault="000B03B0" w:rsidP="003335A2">
      <w:pPr>
        <w:spacing w:after="480" w:line="360" w:lineRule="auto"/>
        <w:rPr>
          <w:rFonts w:cstheme="minorHAnsi"/>
          <w:iCs/>
        </w:rPr>
      </w:pPr>
      <w:r w:rsidRPr="00372E8E">
        <w:rPr>
          <w:rFonts w:cstheme="minorHAnsi"/>
          <w:iCs/>
        </w:rPr>
        <w:t>Województwo Zachodniopomorskie</w:t>
      </w:r>
    </w:p>
    <w:p w14:paraId="490F42EC" w14:textId="19002113" w:rsidR="001F7C47" w:rsidRPr="00372E8E" w:rsidRDefault="001F7C47" w:rsidP="00372E8E">
      <w:pPr>
        <w:spacing w:line="360" w:lineRule="auto"/>
        <w:rPr>
          <w:rFonts w:cstheme="minorHAnsi"/>
          <w:b/>
        </w:rPr>
      </w:pPr>
      <w:r w:rsidRPr="00372E8E">
        <w:rPr>
          <w:rFonts w:cstheme="minorHAnsi"/>
          <w:b/>
        </w:rPr>
        <w:t xml:space="preserve">Stanowisko Nr </w:t>
      </w:r>
      <w:r w:rsidR="00A009EE" w:rsidRPr="00372E8E">
        <w:rPr>
          <w:rFonts w:cstheme="minorHAnsi"/>
          <w:b/>
        </w:rPr>
        <w:t>4</w:t>
      </w:r>
    </w:p>
    <w:p w14:paraId="69872668" w14:textId="4BFBD9BB" w:rsidR="001F7C47" w:rsidRPr="00372E8E" w:rsidRDefault="001F7C47" w:rsidP="00372E8E">
      <w:pPr>
        <w:spacing w:line="360" w:lineRule="auto"/>
        <w:rPr>
          <w:rFonts w:cstheme="minorHAnsi"/>
          <w:b/>
        </w:rPr>
      </w:pPr>
      <w:r w:rsidRPr="00372E8E">
        <w:rPr>
          <w:rFonts w:cstheme="minorHAnsi"/>
          <w:b/>
        </w:rPr>
        <w:t>Konwentu Marszałków Województw RP</w:t>
      </w:r>
    </w:p>
    <w:p w14:paraId="00D95959" w14:textId="15EEC637" w:rsidR="001F7C47" w:rsidRPr="00372E8E" w:rsidRDefault="001F7C47" w:rsidP="00372E8E">
      <w:pPr>
        <w:spacing w:line="360" w:lineRule="auto"/>
        <w:rPr>
          <w:rFonts w:cstheme="minorHAnsi"/>
          <w:b/>
        </w:rPr>
      </w:pPr>
      <w:r w:rsidRPr="00372E8E">
        <w:rPr>
          <w:rFonts w:cstheme="minorHAnsi"/>
          <w:b/>
        </w:rPr>
        <w:t xml:space="preserve">z dnia </w:t>
      </w:r>
      <w:r w:rsidR="00A009EE" w:rsidRPr="00372E8E">
        <w:rPr>
          <w:rFonts w:cstheme="minorHAnsi"/>
          <w:b/>
        </w:rPr>
        <w:t>21 marca</w:t>
      </w:r>
      <w:r w:rsidRPr="00372E8E">
        <w:rPr>
          <w:rFonts w:cstheme="minorHAnsi"/>
          <w:b/>
        </w:rPr>
        <w:t xml:space="preserve"> 2023 roku</w:t>
      </w:r>
    </w:p>
    <w:p w14:paraId="63A2F3E1" w14:textId="5E056C1E" w:rsidR="00AD793B" w:rsidRPr="003335A2" w:rsidRDefault="001F7C47" w:rsidP="003335A2">
      <w:pPr>
        <w:spacing w:after="600" w:line="360" w:lineRule="auto"/>
        <w:rPr>
          <w:rFonts w:cstheme="minorHAnsi"/>
          <w:b/>
        </w:rPr>
      </w:pPr>
      <w:r w:rsidRPr="00372E8E">
        <w:rPr>
          <w:rFonts w:cstheme="minorHAnsi"/>
          <w:b/>
        </w:rPr>
        <w:t>w sprawie</w:t>
      </w:r>
      <w:r w:rsidR="003335A2">
        <w:rPr>
          <w:rFonts w:cstheme="minorHAnsi"/>
          <w:b/>
        </w:rPr>
        <w:t xml:space="preserve"> </w:t>
      </w:r>
      <w:r w:rsidRPr="00372E8E">
        <w:rPr>
          <w:rFonts w:cstheme="minorHAnsi"/>
          <w:b/>
        </w:rPr>
        <w:t>wprowadzenia w ustawie Prawo łowieckie zapisów regulujących kwestię odpowiedzialności za szacowanie szkód i wypłatę odszko</w:t>
      </w:r>
      <w:r w:rsidR="00FF1012" w:rsidRPr="00372E8E">
        <w:rPr>
          <w:rFonts w:cstheme="minorHAnsi"/>
          <w:b/>
        </w:rPr>
        <w:t>dowań za szkody</w:t>
      </w:r>
      <w:r w:rsidR="009341AA">
        <w:rPr>
          <w:rFonts w:cstheme="minorHAnsi"/>
          <w:b/>
        </w:rPr>
        <w:t>,</w:t>
      </w:r>
      <w:r w:rsidR="00FF1012" w:rsidRPr="00372E8E">
        <w:rPr>
          <w:rFonts w:cstheme="minorHAnsi"/>
          <w:b/>
        </w:rPr>
        <w:t xml:space="preserve"> o których mowa </w:t>
      </w:r>
      <w:r w:rsidR="003335A2">
        <w:rPr>
          <w:rFonts w:cstheme="minorHAnsi"/>
          <w:b/>
        </w:rPr>
        <w:t>w </w:t>
      </w:r>
      <w:r w:rsidRPr="00372E8E">
        <w:rPr>
          <w:rFonts w:cstheme="minorHAnsi"/>
          <w:b/>
        </w:rPr>
        <w:t>art. 46 ust. 1 pkt 1 ustawy Prawo łowieckie na obszarac</w:t>
      </w:r>
      <w:r w:rsidR="003335A2">
        <w:rPr>
          <w:rFonts w:cstheme="minorHAnsi"/>
          <w:b/>
        </w:rPr>
        <w:t>h obwodów łowieckich, które nie </w:t>
      </w:r>
      <w:r w:rsidRPr="00372E8E">
        <w:rPr>
          <w:rFonts w:cstheme="minorHAnsi"/>
          <w:b/>
        </w:rPr>
        <w:t>zostały wydzierżawione lub przekazane w zarząd.</w:t>
      </w:r>
    </w:p>
    <w:p w14:paraId="1F6AE580" w14:textId="4FBE6CE4" w:rsidR="00AD793B" w:rsidRPr="00372E8E" w:rsidRDefault="001F7C47" w:rsidP="003335A2">
      <w:pPr>
        <w:spacing w:after="240" w:line="360" w:lineRule="auto"/>
        <w:rPr>
          <w:rFonts w:cstheme="minorHAnsi"/>
        </w:rPr>
      </w:pPr>
      <w:r w:rsidRPr="00372E8E">
        <w:rPr>
          <w:rFonts w:cstheme="minorHAnsi"/>
        </w:rPr>
        <w:t>W związku z realizacją przez samorządy województw zadań z zakresu administracji rządowej dotyczących gospodarki łowieckiej Konwent Marszałków Województw RP przedstawia postulat pilnego uregulowania kwestii odpowiedzialności za</w:t>
      </w:r>
      <w:r w:rsidR="00690E3A" w:rsidRPr="00372E8E">
        <w:rPr>
          <w:rFonts w:cstheme="minorHAnsi"/>
        </w:rPr>
        <w:t xml:space="preserve"> szkody wyrządzane w uprawach i </w:t>
      </w:r>
      <w:r w:rsidRPr="00372E8E">
        <w:rPr>
          <w:rFonts w:cstheme="minorHAnsi"/>
        </w:rPr>
        <w:t>płodach rolnych przez dziki, jelenie, daniele i sarny na obsz</w:t>
      </w:r>
      <w:r w:rsidR="00690E3A" w:rsidRPr="00372E8E">
        <w:rPr>
          <w:rFonts w:cstheme="minorHAnsi"/>
        </w:rPr>
        <w:t>arach obwodów łowieckich, które </w:t>
      </w:r>
      <w:r w:rsidRPr="00372E8E">
        <w:rPr>
          <w:rFonts w:cstheme="minorHAnsi"/>
        </w:rPr>
        <w:t>nie zostały wydzierżawione lub przekazane w zarząd, poprzez wpr</w:t>
      </w:r>
      <w:r w:rsidR="00E71505" w:rsidRPr="00372E8E">
        <w:rPr>
          <w:rFonts w:cstheme="minorHAnsi"/>
        </w:rPr>
        <w:t>owadzenie stosownych zapisów do </w:t>
      </w:r>
      <w:r w:rsidRPr="00372E8E">
        <w:rPr>
          <w:rFonts w:cstheme="minorHAnsi"/>
        </w:rPr>
        <w:t>ustawy Prawo łowieckie.</w:t>
      </w:r>
    </w:p>
    <w:p w14:paraId="445F77B0" w14:textId="1CA7CF97" w:rsidR="00AD793B" w:rsidRPr="00372E8E" w:rsidRDefault="001F7C47" w:rsidP="003335A2">
      <w:pPr>
        <w:spacing w:after="240" w:line="360" w:lineRule="auto"/>
        <w:rPr>
          <w:rFonts w:cstheme="minorHAnsi"/>
        </w:rPr>
      </w:pPr>
      <w:r w:rsidRPr="00372E8E">
        <w:rPr>
          <w:rFonts w:cstheme="minorHAnsi"/>
        </w:rPr>
        <w:t>Ustawa z dnia 13 października 1995 r. Prawo łowieckie (Dz.</w:t>
      </w:r>
      <w:r w:rsidR="00AD793B">
        <w:rPr>
          <w:rFonts w:cstheme="minorHAnsi"/>
        </w:rPr>
        <w:t xml:space="preserve">U. z 2022 r. poz. 1173 ze zm.) </w:t>
      </w:r>
      <w:r w:rsidRPr="00372E8E">
        <w:rPr>
          <w:rFonts w:cstheme="minorHAnsi"/>
        </w:rPr>
        <w:t>reguluje zagadnienia odpowiedzialności za szacowanie sz</w:t>
      </w:r>
      <w:r w:rsidR="00690E3A" w:rsidRPr="00372E8E">
        <w:rPr>
          <w:rFonts w:cstheme="minorHAnsi"/>
        </w:rPr>
        <w:t>kód oraz wypłatę odszkodowań za </w:t>
      </w:r>
      <w:r w:rsidRPr="00372E8E">
        <w:rPr>
          <w:rFonts w:cstheme="minorHAnsi"/>
        </w:rPr>
        <w:t>szkody wyrządzane w uprawach i płodach rolnych na obszarach obwodów łow</w:t>
      </w:r>
      <w:r w:rsidR="00690E3A" w:rsidRPr="00372E8E">
        <w:rPr>
          <w:rFonts w:cstheme="minorHAnsi"/>
        </w:rPr>
        <w:t>ieckich m.in. </w:t>
      </w:r>
      <w:r w:rsidRPr="00372E8E">
        <w:rPr>
          <w:rFonts w:cstheme="minorHAnsi"/>
        </w:rPr>
        <w:t>przez dziki, jelenie, daniele i sarny. Art. 46 ust. 1 pkt 1 pr</w:t>
      </w:r>
      <w:r w:rsidR="00690E3A" w:rsidRPr="00372E8E">
        <w:rPr>
          <w:rFonts w:cstheme="minorHAnsi"/>
        </w:rPr>
        <w:t>zywoływanej ustawy wskazuje, że </w:t>
      </w:r>
      <w:r w:rsidRPr="00372E8E">
        <w:rPr>
          <w:rFonts w:cstheme="minorHAnsi"/>
        </w:rPr>
        <w:t>właściwymi do szacowania ww. szkód i wypłaty, będących ich konsekwencją, odszkodowań są dzierżawcy i zarządcy obwodów łowieckich. Ustawa reguluje ta</w:t>
      </w:r>
      <w:r w:rsidR="00690E3A" w:rsidRPr="00372E8E">
        <w:rPr>
          <w:rFonts w:cstheme="minorHAnsi"/>
        </w:rPr>
        <w:t>kże odpowiedzialność za </w:t>
      </w:r>
      <w:r w:rsidRPr="00372E8E">
        <w:rPr>
          <w:rFonts w:cstheme="minorHAnsi"/>
        </w:rPr>
        <w:t>szacowanie i wypłatę odszkodowań za szkody wyrządzane w uprawach i płodach rolnych przez dziki, jelenie, daniele i sarny na obszarach niewchodzących w skład obwodów łowieckich (tu odpowiedzialnymi są zarządy województw, wypłacające odszkodowania ze środków Skarbu</w:t>
      </w:r>
      <w:r w:rsidR="00AD793B">
        <w:rPr>
          <w:rFonts w:cstheme="minorHAnsi"/>
        </w:rPr>
        <w:t> </w:t>
      </w:r>
      <w:r w:rsidRPr="00372E8E">
        <w:rPr>
          <w:rFonts w:cstheme="minorHAnsi"/>
        </w:rPr>
        <w:t>Państwa) oraz szacowanie szkód i wypłatę odszkodowań za</w:t>
      </w:r>
      <w:r w:rsidR="00AD793B">
        <w:rPr>
          <w:rFonts w:cstheme="minorHAnsi"/>
        </w:rPr>
        <w:t xml:space="preserve"> szkody wyrządzane w </w:t>
      </w:r>
      <w:r w:rsidR="00690E3A" w:rsidRPr="00372E8E">
        <w:rPr>
          <w:rFonts w:cstheme="minorHAnsi"/>
        </w:rPr>
        <w:t>uprawach i </w:t>
      </w:r>
      <w:r w:rsidRPr="00372E8E">
        <w:rPr>
          <w:rFonts w:cstheme="minorHAnsi"/>
        </w:rPr>
        <w:t xml:space="preserve">płodach rolnych przez zwierzęta łowne objęte całoroczną ochroną. </w:t>
      </w:r>
    </w:p>
    <w:p w14:paraId="7011C35C" w14:textId="7B687DA1" w:rsidR="00AD793B" w:rsidRPr="00372E8E" w:rsidRDefault="001F7C47" w:rsidP="003335A2">
      <w:pPr>
        <w:spacing w:after="240" w:line="360" w:lineRule="auto"/>
        <w:rPr>
          <w:rFonts w:cstheme="minorHAnsi"/>
        </w:rPr>
      </w:pPr>
      <w:r w:rsidRPr="00372E8E">
        <w:rPr>
          <w:rFonts w:cstheme="minorHAnsi"/>
        </w:rPr>
        <w:lastRenderedPageBreak/>
        <w:t>Brak natomiast w ustawie Prawo łowieckie zapisów regulujących odpowiedz</w:t>
      </w:r>
      <w:r w:rsidR="00690E3A" w:rsidRPr="00372E8E">
        <w:rPr>
          <w:rFonts w:cstheme="minorHAnsi"/>
        </w:rPr>
        <w:t>ialność za </w:t>
      </w:r>
      <w:r w:rsidRPr="00372E8E">
        <w:rPr>
          <w:rFonts w:cstheme="minorHAnsi"/>
        </w:rPr>
        <w:t>szacowanie szkód i wypłatę odszkodowań za szkody w uprawach i płodach rolnych wyrządzane przez dziki, jelenie, daniele i sarny na obszarach obwodów łowieckich, które</w:t>
      </w:r>
      <w:r w:rsidR="00690E3A" w:rsidRPr="00372E8E">
        <w:rPr>
          <w:rFonts w:cstheme="minorHAnsi"/>
        </w:rPr>
        <w:t> </w:t>
      </w:r>
      <w:r w:rsidRPr="00372E8E">
        <w:rPr>
          <w:rFonts w:cstheme="minorHAnsi"/>
        </w:rPr>
        <w:t>nie</w:t>
      </w:r>
      <w:r w:rsidR="00690E3A" w:rsidRPr="00372E8E">
        <w:rPr>
          <w:rFonts w:cstheme="minorHAnsi"/>
        </w:rPr>
        <w:t> </w:t>
      </w:r>
      <w:r w:rsidRPr="00372E8E">
        <w:rPr>
          <w:rFonts w:cstheme="minorHAnsi"/>
        </w:rPr>
        <w:t>mają dzierżawcy ani zarządcy. Teoretycznie problem ten mógłby regulować przepis art. 28 ust. 1a Prawa łowieckiego, mówiący o tym, że obwody łowieckie polegają wydzierżawieniu przez Polski Związek Łowiecki. W praktyce jednak jest to przepis martwy, ponieważ zawiera w swej treści zastrzeżenia tj. „obwody łowieckie podlegają wydzierżawieniu przez Polski Związek Łowiecki tylko wtedy, gdy żadne koło łowiec</w:t>
      </w:r>
      <w:r w:rsidR="00690E3A" w:rsidRPr="00372E8E">
        <w:rPr>
          <w:rFonts w:cstheme="minorHAnsi"/>
        </w:rPr>
        <w:t>kie nie jest zainteresowane ich </w:t>
      </w:r>
      <w:r w:rsidRPr="00372E8E">
        <w:rPr>
          <w:rFonts w:cstheme="minorHAnsi"/>
        </w:rPr>
        <w:t xml:space="preserve">dzierżawieniem i tylko do czasu złożenia oferty przez koło łowieckie.” Taka konstrukcja przepisu sprawia, że nie może on być zastosowany na przykład w </w:t>
      </w:r>
      <w:r w:rsidR="00690E3A" w:rsidRPr="00372E8E">
        <w:rPr>
          <w:rFonts w:cstheme="minorHAnsi"/>
        </w:rPr>
        <w:t>sytuacji przedłużającej się </w:t>
      </w:r>
      <w:r w:rsidRPr="00372E8E">
        <w:rPr>
          <w:rFonts w:cstheme="minorHAnsi"/>
        </w:rPr>
        <w:t>procedury wydzierżawiania obwodu łowieckiego.</w:t>
      </w:r>
    </w:p>
    <w:p w14:paraId="2C577F77" w14:textId="435BFF42" w:rsidR="00AD793B" w:rsidRPr="00372E8E" w:rsidRDefault="001F7C47" w:rsidP="003335A2">
      <w:pPr>
        <w:spacing w:after="240" w:line="360" w:lineRule="auto"/>
        <w:rPr>
          <w:rFonts w:cstheme="minorHAnsi"/>
        </w:rPr>
      </w:pPr>
      <w:r w:rsidRPr="00372E8E">
        <w:rPr>
          <w:rFonts w:cstheme="minorHAnsi"/>
        </w:rPr>
        <w:t>Na ile istotna jest ta luka prawna obrazują przykłady sytuacji, które miały miejsce np.</w:t>
      </w:r>
      <w:r w:rsidR="00690E3A" w:rsidRPr="00372E8E">
        <w:rPr>
          <w:rFonts w:cstheme="minorHAnsi"/>
        </w:rPr>
        <w:t> na </w:t>
      </w:r>
      <w:r w:rsidRPr="00372E8E">
        <w:rPr>
          <w:rFonts w:cstheme="minorHAnsi"/>
        </w:rPr>
        <w:t xml:space="preserve">obszarze województwa zachodniopomorskiego, gdzie proces wydzierżawiania niektórych obwodów łowieckich utworzonych 1 kwietnia 2022 r. trwał </w:t>
      </w:r>
      <w:r w:rsidR="00690E3A" w:rsidRPr="00372E8E">
        <w:rPr>
          <w:rFonts w:cstheme="minorHAnsi"/>
        </w:rPr>
        <w:t>– z różnych przyczyn – nawet do </w:t>
      </w:r>
      <w:r w:rsidRPr="00372E8E">
        <w:rPr>
          <w:rFonts w:cstheme="minorHAnsi"/>
        </w:rPr>
        <w:t>października 2022 r. Mimo przedłużających się postępowań w żadnym wypadku na obszarze województwa zachodniopomorskiego nie doszło do sytuacji, w której obwód łowi</w:t>
      </w:r>
      <w:r w:rsidR="008A5EAE">
        <w:rPr>
          <w:rFonts w:cstheme="minorHAnsi"/>
        </w:rPr>
        <w:t xml:space="preserve">ecki zostałby wydzierżawiony - </w:t>
      </w:r>
      <w:r w:rsidRPr="00372E8E">
        <w:rPr>
          <w:rFonts w:cstheme="minorHAnsi"/>
        </w:rPr>
        <w:t>na podstawie zapisów art. 28 ust.1a Prawa łowieckiego – Polskiemu Związkowi Łowieckiemu</w:t>
      </w:r>
      <w:r w:rsidR="00AD793B">
        <w:rPr>
          <w:rFonts w:cstheme="minorHAnsi"/>
        </w:rPr>
        <w:t>.</w:t>
      </w:r>
    </w:p>
    <w:p w14:paraId="0C348113" w14:textId="05A66F90" w:rsidR="001F7C47" w:rsidRPr="00372E8E" w:rsidRDefault="001F7C47" w:rsidP="000257F6">
      <w:pPr>
        <w:spacing w:after="240" w:line="360" w:lineRule="auto"/>
        <w:rPr>
          <w:rFonts w:cstheme="minorHAnsi"/>
        </w:rPr>
      </w:pPr>
      <w:r w:rsidRPr="00372E8E">
        <w:rPr>
          <w:rFonts w:cstheme="minorHAnsi"/>
        </w:rPr>
        <w:t>Pociągało to za sobą konsekwencję w postaci trwająceg</w:t>
      </w:r>
      <w:r w:rsidR="008825C6" w:rsidRPr="00372E8E">
        <w:rPr>
          <w:rFonts w:cstheme="minorHAnsi"/>
        </w:rPr>
        <w:t>o miesiącami stanu, w którym </w:t>
      </w:r>
      <w:r w:rsidR="00690E3A" w:rsidRPr="00372E8E">
        <w:rPr>
          <w:rFonts w:cstheme="minorHAnsi"/>
        </w:rPr>
        <w:t>na </w:t>
      </w:r>
      <w:r w:rsidRPr="00372E8E">
        <w:rPr>
          <w:rFonts w:cstheme="minorHAnsi"/>
        </w:rPr>
        <w:t xml:space="preserve">przeznaczonych do wydzierżawienia, ale niewydzierżawionych obwodach łowieckich brak było podmiotu wskazanego przepisami jako odpowiedzialnego za przyjmowanie zgłoszeń szkód, szacowanie szkód i wypłatę odszkodowań za szkody w uprawach i płodach rolnych wyrządzane przez dziki, jelenie, daniele i sarny (czyli </w:t>
      </w:r>
      <w:r w:rsidR="008825C6" w:rsidRPr="00372E8E">
        <w:rPr>
          <w:rFonts w:cstheme="minorHAnsi"/>
        </w:rPr>
        <w:t>szkody</w:t>
      </w:r>
      <w:r w:rsidR="00DD790F">
        <w:rPr>
          <w:rFonts w:cstheme="minorHAnsi"/>
        </w:rPr>
        <w:t>,</w:t>
      </w:r>
      <w:r w:rsidR="008825C6" w:rsidRPr="00372E8E">
        <w:rPr>
          <w:rFonts w:cstheme="minorHAnsi"/>
        </w:rPr>
        <w:t xml:space="preserve"> o których mowa w art. 46 </w:t>
      </w:r>
      <w:r w:rsidRPr="00372E8E">
        <w:rPr>
          <w:rFonts w:cstheme="minorHAnsi"/>
        </w:rPr>
        <w:t xml:space="preserve">ust. 1 pkt 1 ustawy Prawo łowieckie) na obszarach tych obwodów łowieckich. </w:t>
      </w:r>
    </w:p>
    <w:p w14:paraId="55487178" w14:textId="7638FB63" w:rsidR="001F7C47" w:rsidRPr="00372E8E" w:rsidRDefault="001F7C47" w:rsidP="00AD793B">
      <w:pPr>
        <w:spacing w:line="360" w:lineRule="auto"/>
        <w:rPr>
          <w:rFonts w:cstheme="minorHAnsi"/>
        </w:rPr>
      </w:pPr>
      <w:r w:rsidRPr="00372E8E">
        <w:rPr>
          <w:rFonts w:cstheme="minorHAnsi"/>
        </w:rPr>
        <w:t>Doprowadziło to do sytuacji, kiedy to na podstawie obo</w:t>
      </w:r>
      <w:r w:rsidR="00AD793B">
        <w:rPr>
          <w:rFonts w:cstheme="minorHAnsi"/>
        </w:rPr>
        <w:t>wiązujących przepisów prawa nie </w:t>
      </w:r>
      <w:r w:rsidRPr="00372E8E">
        <w:rPr>
          <w:rFonts w:cstheme="minorHAnsi"/>
        </w:rPr>
        <w:t>sposób było wskazać podmiotu odpowiedzialnego za szacowanie szkód i wypłatę odszkodowań za szkody wyrządzane w uprawach i płodach rolnyc</w:t>
      </w:r>
      <w:r w:rsidR="00690E3A" w:rsidRPr="00372E8E">
        <w:rPr>
          <w:rFonts w:cstheme="minorHAnsi"/>
        </w:rPr>
        <w:t>h przez jelenie, dziki, sarny i </w:t>
      </w:r>
      <w:r w:rsidRPr="00372E8E">
        <w:rPr>
          <w:rFonts w:cstheme="minorHAnsi"/>
        </w:rPr>
        <w:t>daniele na obszarach obwodów łowieckich, które z różnych względów nie miały</w:t>
      </w:r>
      <w:r w:rsidR="00690E3A" w:rsidRPr="00372E8E">
        <w:rPr>
          <w:rFonts w:cstheme="minorHAnsi"/>
        </w:rPr>
        <w:t xml:space="preserve"> dzierżawcy </w:t>
      </w:r>
      <w:r w:rsidR="00690E3A" w:rsidRPr="00372E8E">
        <w:rPr>
          <w:rFonts w:cstheme="minorHAnsi"/>
        </w:rPr>
        <w:lastRenderedPageBreak/>
        <w:t>lub </w:t>
      </w:r>
      <w:r w:rsidRPr="00372E8E">
        <w:rPr>
          <w:rFonts w:cstheme="minorHAnsi"/>
        </w:rPr>
        <w:t xml:space="preserve">zarządcy. Stan taki spowodował szereg niekorzystnych zjawisk, z których </w:t>
      </w:r>
      <w:r w:rsidR="00690E3A" w:rsidRPr="00372E8E">
        <w:rPr>
          <w:rFonts w:cstheme="minorHAnsi"/>
        </w:rPr>
        <w:t>najważniejszymi są </w:t>
      </w:r>
      <w:r w:rsidRPr="00372E8E">
        <w:rPr>
          <w:rFonts w:cstheme="minorHAnsi"/>
        </w:rPr>
        <w:t xml:space="preserve">niewątpliwie: </w:t>
      </w:r>
    </w:p>
    <w:p w14:paraId="5735F1F1" w14:textId="1D3010B0" w:rsidR="001F7C47" w:rsidRPr="00372E8E" w:rsidRDefault="001F7C47" w:rsidP="00372E8E">
      <w:pPr>
        <w:spacing w:line="360" w:lineRule="auto"/>
        <w:ind w:left="142" w:hanging="142"/>
        <w:rPr>
          <w:rFonts w:cstheme="minorHAnsi"/>
        </w:rPr>
      </w:pPr>
      <w:r w:rsidRPr="00372E8E">
        <w:rPr>
          <w:rFonts w:cstheme="minorHAnsi"/>
        </w:rPr>
        <w:t>- znaczące utrudnienie i spadek opłacalności prowadzenia produkcji rolnej na obszarach obwodów łowieckich pozbawionych dzierżawcy lub zarzą</w:t>
      </w:r>
      <w:r w:rsidR="005074B9" w:rsidRPr="00372E8E">
        <w:rPr>
          <w:rFonts w:cstheme="minorHAnsi"/>
        </w:rPr>
        <w:t>dcy, wywołany kumulującymi się  </w:t>
      </w:r>
      <w:r w:rsidRPr="00372E8E">
        <w:rPr>
          <w:rFonts w:cstheme="minorHAnsi"/>
        </w:rPr>
        <w:t>szkodami wyrządzanymi w uprawach i płodach rolnych przez dziki, jelenie, daniele i sarny, które nie były na bieżąco rekompensowane (ewentual</w:t>
      </w:r>
      <w:r w:rsidR="00AD793B">
        <w:rPr>
          <w:rFonts w:cstheme="minorHAnsi"/>
        </w:rPr>
        <w:t>ne dochodzenie odszkodowań jest </w:t>
      </w:r>
      <w:r w:rsidRPr="00372E8E">
        <w:rPr>
          <w:rFonts w:cstheme="minorHAnsi"/>
        </w:rPr>
        <w:t>obecnie możliwe jedynie na drodze sądowej, przy czym nie sposób wskazać jednoznacznie podmiotu właściwego do wypłaty odszkodowań);</w:t>
      </w:r>
    </w:p>
    <w:p w14:paraId="5E0FE864" w14:textId="1259E980" w:rsidR="001F7C47" w:rsidRPr="00372E8E" w:rsidRDefault="001F7C47" w:rsidP="00372E8E">
      <w:pPr>
        <w:spacing w:line="360" w:lineRule="auto"/>
        <w:ind w:left="142" w:hanging="142"/>
        <w:rPr>
          <w:rFonts w:cstheme="minorHAnsi"/>
        </w:rPr>
      </w:pPr>
      <w:r w:rsidRPr="00372E8E">
        <w:rPr>
          <w:rFonts w:cstheme="minorHAnsi"/>
        </w:rPr>
        <w:t>- przerwanie ciągłości gospodarowania populacjami zwierz</w:t>
      </w:r>
      <w:r w:rsidR="00E401B3">
        <w:rPr>
          <w:rFonts w:cstheme="minorHAnsi"/>
        </w:rPr>
        <w:t>ąt łownych, skutkujące wzrostem</w:t>
      </w:r>
      <w:r w:rsidRPr="00372E8E">
        <w:rPr>
          <w:rFonts w:cstheme="minorHAnsi"/>
        </w:rPr>
        <w:t xml:space="preserve"> populacji, co jest szczególnie niekorzystne m.in. w obliczu zwalczania Afrykańskiego Pomoru Świń;</w:t>
      </w:r>
    </w:p>
    <w:p w14:paraId="235339BE" w14:textId="0293B9FD" w:rsidR="001F7C47" w:rsidRPr="00372E8E" w:rsidRDefault="001F7C47" w:rsidP="00372E8E">
      <w:pPr>
        <w:spacing w:line="360" w:lineRule="auto"/>
        <w:ind w:left="142" w:hanging="142"/>
        <w:rPr>
          <w:rFonts w:cstheme="minorHAnsi"/>
        </w:rPr>
      </w:pPr>
      <w:r w:rsidRPr="00372E8E">
        <w:rPr>
          <w:rFonts w:cstheme="minorHAnsi"/>
        </w:rPr>
        <w:t>- pogorszenie relacji na linii rolnicy – myśliwi oraz zaufania obywateli do instytucji takich jak urzędy marszałkowskie czy Państwowe Gospodarstwo Leśne Lasy Państw</w:t>
      </w:r>
      <w:r w:rsidR="005074B9" w:rsidRPr="00372E8E">
        <w:rPr>
          <w:rFonts w:cstheme="minorHAnsi"/>
        </w:rPr>
        <w:t xml:space="preserve">owe, a w szerszym ujęciu także </w:t>
      </w:r>
      <w:r w:rsidRPr="00372E8E">
        <w:rPr>
          <w:rFonts w:cstheme="minorHAnsi"/>
        </w:rPr>
        <w:t>do organów stanowiących akty prawa w randzie ustawy;</w:t>
      </w:r>
    </w:p>
    <w:p w14:paraId="4ADAF9B3" w14:textId="77777777" w:rsidR="001F7C47" w:rsidRPr="00372E8E" w:rsidRDefault="001F7C47" w:rsidP="00372E8E">
      <w:pPr>
        <w:spacing w:line="360" w:lineRule="auto"/>
        <w:rPr>
          <w:rFonts w:cstheme="minorHAnsi"/>
        </w:rPr>
      </w:pPr>
      <w:r w:rsidRPr="00372E8E">
        <w:rPr>
          <w:rFonts w:cstheme="minorHAnsi"/>
        </w:rPr>
        <w:t>- utrata wpływów z tytułu dzierżawy obwodów łowieckich;</w:t>
      </w:r>
    </w:p>
    <w:p w14:paraId="5268D498" w14:textId="735883DA" w:rsidR="001F7C47" w:rsidRPr="00372E8E" w:rsidRDefault="001F7C47" w:rsidP="00372E8E">
      <w:pPr>
        <w:spacing w:line="360" w:lineRule="auto"/>
        <w:ind w:left="142" w:hanging="142"/>
        <w:rPr>
          <w:rFonts w:cstheme="minorHAnsi"/>
        </w:rPr>
      </w:pPr>
      <w:r w:rsidRPr="00372E8E">
        <w:rPr>
          <w:rFonts w:cstheme="minorHAnsi"/>
        </w:rPr>
        <w:t>- utrudnienie właściwej gospodarki populacjami zwierząt łownych na o</w:t>
      </w:r>
      <w:r w:rsidR="004607DF">
        <w:rPr>
          <w:rFonts w:cstheme="minorHAnsi"/>
        </w:rPr>
        <w:t xml:space="preserve">bszarach sąsiadujących obwodów </w:t>
      </w:r>
      <w:r w:rsidRPr="00372E8E">
        <w:rPr>
          <w:rFonts w:cstheme="minorHAnsi"/>
        </w:rPr>
        <w:t>łowieckich wydzierżawionych, wynikające z faktu mi</w:t>
      </w:r>
      <w:r w:rsidR="00C017F3" w:rsidRPr="00372E8E">
        <w:rPr>
          <w:rFonts w:cstheme="minorHAnsi"/>
        </w:rPr>
        <w:t>gracji zwierzyny na obszary, na </w:t>
      </w:r>
      <w:r w:rsidR="004607DF">
        <w:rPr>
          <w:rFonts w:cstheme="minorHAnsi"/>
        </w:rPr>
        <w:t>których nie jest</w:t>
      </w:r>
      <w:r w:rsidRPr="00372E8E">
        <w:rPr>
          <w:rFonts w:cstheme="minorHAnsi"/>
        </w:rPr>
        <w:t xml:space="preserve"> prowadzona gospodarka łowie</w:t>
      </w:r>
      <w:r w:rsidR="005074B9" w:rsidRPr="00372E8E">
        <w:rPr>
          <w:rFonts w:cstheme="minorHAnsi"/>
        </w:rPr>
        <w:t>cka, a które stają się de fact</w:t>
      </w:r>
      <w:r w:rsidR="00C017F3" w:rsidRPr="00372E8E">
        <w:rPr>
          <w:rFonts w:cstheme="minorHAnsi"/>
        </w:rPr>
        <w:t xml:space="preserve">o </w:t>
      </w:r>
      <w:r w:rsidRPr="00372E8E">
        <w:rPr>
          <w:rFonts w:cstheme="minorHAnsi"/>
        </w:rPr>
        <w:t>wielkoobszarowymi ostojami zwierzyny;</w:t>
      </w:r>
    </w:p>
    <w:p w14:paraId="1AB0A463" w14:textId="35231015" w:rsidR="001F7C47" w:rsidRPr="00372E8E" w:rsidRDefault="001F7C47" w:rsidP="00562DC8">
      <w:pPr>
        <w:spacing w:after="240" w:line="360" w:lineRule="auto"/>
        <w:ind w:left="142" w:hanging="142"/>
        <w:rPr>
          <w:rFonts w:cstheme="minorHAnsi"/>
        </w:rPr>
      </w:pPr>
      <w:r w:rsidRPr="00372E8E">
        <w:rPr>
          <w:rFonts w:cstheme="minorHAnsi"/>
        </w:rPr>
        <w:t>- wystąpienia przez poszkodowanych rolników z pozwami przeciwko Wojewodzie Zachodniopomorskiemu, Zarządowi Województwa Zachodniopomorskiego, Państwowemu Gospodarstwu Leśnemu Lasy Państwowe oraz Polskiemu Związkowi Łowieckiemu o zapłatę odszkodowań za szkody wyrządzone w uprawach i płodach rolnych przez dziki, jelenie, daniele i sarny na obszarach obwodów łowiecki</w:t>
      </w:r>
      <w:r w:rsidR="00E56452" w:rsidRPr="00372E8E">
        <w:rPr>
          <w:rFonts w:cstheme="minorHAnsi"/>
        </w:rPr>
        <w:t>ch, powstałe w okresie w którym </w:t>
      </w:r>
      <w:r w:rsidRPr="00372E8E">
        <w:rPr>
          <w:rFonts w:cstheme="minorHAnsi"/>
        </w:rPr>
        <w:t xml:space="preserve">obwody te nie miały dzierżawcy ani zarządcy; będzie to generowało dla Skarbu Państwa dodatkowe, zbędne koszty postępowania. </w:t>
      </w:r>
    </w:p>
    <w:p w14:paraId="603EEC20" w14:textId="576DE4FC" w:rsidR="00AD793B" w:rsidRPr="00372E8E" w:rsidRDefault="001F7C47" w:rsidP="00B660CE">
      <w:pPr>
        <w:spacing w:after="240" w:line="360" w:lineRule="auto"/>
        <w:rPr>
          <w:rFonts w:cstheme="minorHAnsi"/>
        </w:rPr>
      </w:pPr>
      <w:r w:rsidRPr="00305405">
        <w:rPr>
          <w:rFonts w:cstheme="minorHAnsi"/>
        </w:rPr>
        <w:t>O wadze</w:t>
      </w:r>
      <w:r w:rsidRPr="00372E8E">
        <w:rPr>
          <w:rFonts w:cstheme="minorHAnsi"/>
        </w:rPr>
        <w:t xml:space="preserve"> problemu świadczy fakt, że nawet Prokuratoria Gen</w:t>
      </w:r>
      <w:r w:rsidR="00830F87" w:rsidRPr="00372E8E">
        <w:rPr>
          <w:rFonts w:cstheme="minorHAnsi"/>
        </w:rPr>
        <w:t>eralna Skarbu Państwa nie </w:t>
      </w:r>
      <w:r w:rsidR="00086F43" w:rsidRPr="00372E8E">
        <w:rPr>
          <w:rFonts w:cstheme="minorHAnsi"/>
        </w:rPr>
        <w:t xml:space="preserve">była </w:t>
      </w:r>
      <w:r w:rsidR="00AD793B">
        <w:rPr>
          <w:rFonts w:cstheme="minorHAnsi"/>
        </w:rPr>
        <w:t>w </w:t>
      </w:r>
      <w:r w:rsidRPr="00372E8E">
        <w:rPr>
          <w:rFonts w:cstheme="minorHAnsi"/>
        </w:rPr>
        <w:t>stanie jednoznacznie wskazać, jaka jednostka Skarb</w:t>
      </w:r>
      <w:r w:rsidR="00086F43" w:rsidRPr="00372E8E">
        <w:rPr>
          <w:rFonts w:cstheme="minorHAnsi"/>
        </w:rPr>
        <w:t xml:space="preserve">u Państwa powinna być pozwana </w:t>
      </w:r>
      <w:r w:rsidR="00086F43" w:rsidRPr="00372E8E">
        <w:rPr>
          <w:rFonts w:cstheme="minorHAnsi"/>
        </w:rPr>
        <w:lastRenderedPageBreak/>
        <w:t>w </w:t>
      </w:r>
      <w:r w:rsidRPr="00372E8E">
        <w:rPr>
          <w:rFonts w:cstheme="minorHAnsi"/>
        </w:rPr>
        <w:t xml:space="preserve">procesach o odszkodowanie za szkody łowieckie – zajęła w tym przedmiocie dwa sprzeczne ze sobą stanowiska. </w:t>
      </w:r>
    </w:p>
    <w:p w14:paraId="45197FA3" w14:textId="77777777" w:rsidR="001F7C47" w:rsidRPr="00372E8E" w:rsidRDefault="001F7C47" w:rsidP="003335A2">
      <w:pPr>
        <w:spacing w:after="240" w:line="360" w:lineRule="auto"/>
        <w:rPr>
          <w:rFonts w:cstheme="minorHAnsi"/>
        </w:rPr>
      </w:pPr>
      <w:r w:rsidRPr="00372E8E">
        <w:rPr>
          <w:rFonts w:cstheme="minorHAnsi"/>
        </w:rPr>
        <w:t>Co warte podkreślenia, w przypadku braku zmian legislacyjnych podobna sytuacja może powtarzać się w przyszłości.</w:t>
      </w:r>
    </w:p>
    <w:p w14:paraId="7E425B11" w14:textId="2ACBE38E" w:rsidR="001F7C47" w:rsidRPr="00372E8E" w:rsidRDefault="001F7C47" w:rsidP="00372E8E">
      <w:pPr>
        <w:spacing w:line="360" w:lineRule="auto"/>
        <w:rPr>
          <w:rFonts w:cstheme="minorHAnsi"/>
        </w:rPr>
      </w:pPr>
      <w:r w:rsidRPr="00372E8E">
        <w:rPr>
          <w:rFonts w:cstheme="minorHAnsi"/>
        </w:rPr>
        <w:t>Jednocześnie, w ocenie Konwentu Marszałków Województw RP</w:t>
      </w:r>
      <w:r w:rsidR="001E170A">
        <w:rPr>
          <w:rFonts w:cstheme="minorHAnsi"/>
        </w:rPr>
        <w:t>,</w:t>
      </w:r>
      <w:r w:rsidR="00830F87" w:rsidRPr="00372E8E">
        <w:rPr>
          <w:rFonts w:cstheme="minorHAnsi"/>
        </w:rPr>
        <w:t xml:space="preserve"> kwestia odpowiedzialności za </w:t>
      </w:r>
      <w:r w:rsidRPr="00372E8E">
        <w:rPr>
          <w:rFonts w:cstheme="minorHAnsi"/>
        </w:rPr>
        <w:t>szacowanie szkód i wypłatę odszkodowań za szkody wyrządzane w</w:t>
      </w:r>
      <w:r w:rsidR="00086F43" w:rsidRPr="00372E8E">
        <w:rPr>
          <w:rFonts w:cstheme="minorHAnsi"/>
        </w:rPr>
        <w:t> </w:t>
      </w:r>
      <w:r w:rsidRPr="00372E8E">
        <w:rPr>
          <w:rFonts w:cstheme="minorHAnsi"/>
        </w:rPr>
        <w:t xml:space="preserve">uprawach i płodach rolnych przez jelenie, dziki, sarny i daniele w na obszarach obwodów łowieckich, które nie mają dzierżawcy lub zarządcy, jest stosunkowo prosta do uregulowania. </w:t>
      </w:r>
    </w:p>
    <w:p w14:paraId="52AC869F" w14:textId="6AE5774E" w:rsidR="001F7C47" w:rsidRPr="00372E8E" w:rsidRDefault="001F7C47" w:rsidP="00372E8E">
      <w:pPr>
        <w:spacing w:line="360" w:lineRule="auto"/>
        <w:rPr>
          <w:rFonts w:cstheme="minorHAnsi"/>
        </w:rPr>
      </w:pPr>
      <w:r w:rsidRPr="00372E8E">
        <w:rPr>
          <w:rFonts w:cstheme="minorHAnsi"/>
        </w:rPr>
        <w:t>Pierwszym z możliwych rozwiązań jest przeredagowanie treści przepisu art. 28 ust. 1a Prawa łowieckiego w sposób, który spowoduje, że obwody łow</w:t>
      </w:r>
      <w:r w:rsidR="00086F43" w:rsidRPr="00372E8E">
        <w:rPr>
          <w:rFonts w:cstheme="minorHAnsi"/>
        </w:rPr>
        <w:t>ieckie</w:t>
      </w:r>
      <w:r w:rsidR="001E170A">
        <w:rPr>
          <w:rFonts w:cstheme="minorHAnsi"/>
        </w:rPr>
        <w:t>,</w:t>
      </w:r>
      <w:r w:rsidR="00086F43" w:rsidRPr="00372E8E">
        <w:rPr>
          <w:rFonts w:cstheme="minorHAnsi"/>
        </w:rPr>
        <w:t xml:space="preserve"> które nie są wyłączone z </w:t>
      </w:r>
      <w:r w:rsidRPr="00372E8E">
        <w:rPr>
          <w:rFonts w:cstheme="minorHAnsi"/>
        </w:rPr>
        <w:t>wydzierżawienia ale nie mają jeszcze dzierżawcy będą faktycznie wydzierżawiane Polskiemu Związkowi Łowieckiemu. Przepis ten mógłby zostać zredagowany w sposób następujący:</w:t>
      </w:r>
    </w:p>
    <w:p w14:paraId="3FB56DE2" w14:textId="21B27097" w:rsidR="001F7C47" w:rsidRPr="00372E8E" w:rsidRDefault="001F7C47" w:rsidP="00372E8E">
      <w:pPr>
        <w:spacing w:line="360" w:lineRule="auto"/>
        <w:rPr>
          <w:rFonts w:cstheme="minorHAnsi"/>
        </w:rPr>
      </w:pPr>
      <w:r w:rsidRPr="00372E8E">
        <w:rPr>
          <w:rFonts w:cstheme="minorHAnsi"/>
        </w:rPr>
        <w:t>W nie wyłączonych z wydzierżawienia, niewydzierża</w:t>
      </w:r>
      <w:r w:rsidR="00086F43" w:rsidRPr="00372E8E">
        <w:rPr>
          <w:rFonts w:cstheme="minorHAnsi"/>
        </w:rPr>
        <w:t>wionych obwodach łowieckich, do </w:t>
      </w:r>
      <w:r w:rsidRPr="00372E8E">
        <w:rPr>
          <w:rFonts w:cstheme="minorHAnsi"/>
        </w:rPr>
        <w:t xml:space="preserve">czasu zawarcia umowy dzierżawy z kołem łowieckim obowiązki dzierżawcy obwodu łowieckiego wykonuje Polski Związek Łowiecki. </w:t>
      </w:r>
    </w:p>
    <w:p w14:paraId="5C7D3769" w14:textId="2FED02D0" w:rsidR="00830F87" w:rsidRPr="00372E8E" w:rsidRDefault="001F7C47" w:rsidP="003335A2">
      <w:pPr>
        <w:spacing w:after="240" w:line="360" w:lineRule="auto"/>
        <w:rPr>
          <w:rFonts w:cstheme="minorHAnsi"/>
        </w:rPr>
      </w:pPr>
      <w:r w:rsidRPr="00372E8E">
        <w:rPr>
          <w:rFonts w:cstheme="minorHAnsi"/>
        </w:rPr>
        <w:t>Przyjęcie takiego rozwiązania wydaje się być ze wszech miar korzystnym, ponieważ – poza likwidacją opisanych wcześniej niekorzystnych zjawisk – sprawiałoby, że Polski Związek Łowiecki byłby</w:t>
      </w:r>
      <w:r w:rsidRPr="00372E8E">
        <w:rPr>
          <w:rFonts w:cstheme="minorHAnsi"/>
          <w:strike/>
        </w:rPr>
        <w:t xml:space="preserve"> </w:t>
      </w:r>
      <w:r w:rsidRPr="00372E8E">
        <w:rPr>
          <w:rFonts w:cstheme="minorHAnsi"/>
        </w:rPr>
        <w:t>zainteresowany aktywnym poszukiwaniem dzierżawców dla obwodów ło</w:t>
      </w:r>
      <w:r w:rsidR="00830F87" w:rsidRPr="00372E8E">
        <w:rPr>
          <w:rFonts w:cstheme="minorHAnsi"/>
        </w:rPr>
        <w:t>wieckich, zaś </w:t>
      </w:r>
      <w:r w:rsidR="00452195" w:rsidRPr="00372E8E">
        <w:rPr>
          <w:rFonts w:cstheme="minorHAnsi"/>
        </w:rPr>
        <w:t xml:space="preserve">przepis </w:t>
      </w:r>
      <w:r w:rsidRPr="00372E8E">
        <w:rPr>
          <w:rFonts w:cstheme="minorHAnsi"/>
        </w:rPr>
        <w:t xml:space="preserve">art. 28 ust. 1a Prawa łowieckiego </w:t>
      </w:r>
      <w:r w:rsidR="00452195" w:rsidRPr="00372E8E">
        <w:rPr>
          <w:rFonts w:cstheme="minorHAnsi"/>
        </w:rPr>
        <w:t>mógłby zacząć działać zgodnie z </w:t>
      </w:r>
      <w:r w:rsidRPr="00372E8E">
        <w:rPr>
          <w:rFonts w:cstheme="minorHAnsi"/>
        </w:rPr>
        <w:t>intencją Ustawodawcy.</w:t>
      </w:r>
    </w:p>
    <w:p w14:paraId="08E2935D" w14:textId="2F19AB91" w:rsidR="00AD793B" w:rsidRPr="00372E8E" w:rsidRDefault="001F7C47" w:rsidP="003335A2">
      <w:pPr>
        <w:spacing w:after="240" w:line="360" w:lineRule="auto"/>
        <w:rPr>
          <w:rFonts w:cstheme="minorHAnsi"/>
        </w:rPr>
      </w:pPr>
      <w:r w:rsidRPr="00372E8E">
        <w:rPr>
          <w:rFonts w:cstheme="minorHAnsi"/>
        </w:rPr>
        <w:t>Należy zaznaczyć, że zgodnie z procedurą to Polski Związek Łowiecki występuje w imieniu koła łowieckiego z wnioskiem o wydzierżawienie obwodu łowieckiego do właściwego podmiotu (organu wydzierżawiającego), tj. starosty lub dyrektora regionalnej dyrekcji Państwowego Gospodarstwa Leśnego Lasy Państw</w:t>
      </w:r>
      <w:r w:rsidR="00086F43" w:rsidRPr="00372E8E">
        <w:rPr>
          <w:rFonts w:cstheme="minorHAnsi"/>
        </w:rPr>
        <w:t>owe. W przypadku opieszałości w </w:t>
      </w:r>
      <w:r w:rsidRPr="00372E8E">
        <w:rPr>
          <w:rFonts w:cstheme="minorHAnsi"/>
        </w:rPr>
        <w:t>wydzierżawieniu, do</w:t>
      </w:r>
      <w:r w:rsidR="00AD793B">
        <w:rPr>
          <w:rFonts w:cstheme="minorHAnsi"/>
        </w:rPr>
        <w:t> </w:t>
      </w:r>
      <w:r w:rsidRPr="00372E8E">
        <w:rPr>
          <w:rFonts w:cstheme="minorHAnsi"/>
        </w:rPr>
        <w:t>czego dochodziło w przeszłości, odpowiedzialność odszkodowawcza powinna jednak leżeć po stronie organu wydzierżawiającego.</w:t>
      </w:r>
    </w:p>
    <w:p w14:paraId="3174AA13" w14:textId="18BCE725" w:rsidR="00830F87" w:rsidRPr="00372E8E" w:rsidRDefault="001F7C47" w:rsidP="003335A2">
      <w:pPr>
        <w:spacing w:after="240" w:line="360" w:lineRule="auto"/>
        <w:rPr>
          <w:rFonts w:cstheme="minorHAnsi"/>
        </w:rPr>
      </w:pPr>
      <w:r w:rsidRPr="00372E8E">
        <w:rPr>
          <w:rFonts w:cstheme="minorHAnsi"/>
        </w:rPr>
        <w:t>Drugim z możliwych rozwiązań jest wprowadzenie do ustawy Prawo łowieckie przepisu, wskazującego jednoznacznie podmiot upoważniony do szacowan</w:t>
      </w:r>
      <w:r w:rsidR="00086F43" w:rsidRPr="00372E8E">
        <w:rPr>
          <w:rFonts w:cstheme="minorHAnsi"/>
        </w:rPr>
        <w:t xml:space="preserve">ia szkód i wypłaty </w:t>
      </w:r>
      <w:r w:rsidR="00086F43" w:rsidRPr="00372E8E">
        <w:rPr>
          <w:rFonts w:cstheme="minorHAnsi"/>
        </w:rPr>
        <w:lastRenderedPageBreak/>
        <w:t xml:space="preserve">odszkodowań </w:t>
      </w:r>
      <w:r w:rsidRPr="00372E8E">
        <w:rPr>
          <w:rFonts w:cstheme="minorHAnsi"/>
        </w:rPr>
        <w:t>za szkody wyrządzone przez dziki, jelenie, daniele i sarny w uprawach i płodach rolnych na obszarach niewyłączonych z wydzierżawienia obwodów łowieckich, które nie mają dzierżawcy. Podkreślić przy tym należy, że podmiot taki powinien dysponować zasobami ludzkimi ora</w:t>
      </w:r>
      <w:r w:rsidR="00086F43" w:rsidRPr="00372E8E">
        <w:rPr>
          <w:rFonts w:cstheme="minorHAnsi"/>
        </w:rPr>
        <w:t xml:space="preserve">z zapleczem merytorycznym </w:t>
      </w:r>
      <w:r w:rsidRPr="00372E8E">
        <w:rPr>
          <w:rFonts w:cstheme="minorHAnsi"/>
        </w:rPr>
        <w:t>i sprzętowym niez</w:t>
      </w:r>
      <w:r w:rsidR="00086F43" w:rsidRPr="00372E8E">
        <w:rPr>
          <w:rFonts w:cstheme="minorHAnsi"/>
        </w:rPr>
        <w:t>będnym do realizacji zadania. Z </w:t>
      </w:r>
      <w:r w:rsidRPr="00372E8E">
        <w:rPr>
          <w:rFonts w:cstheme="minorHAnsi"/>
        </w:rPr>
        <w:t>uwagi na to zasadnym wydaje się wskazanie Państwowego Gospodarstwa Leśnego Lasy Państwowe jako podmiotu właściwego do realizacji zadania pol</w:t>
      </w:r>
      <w:r w:rsidR="00086F43" w:rsidRPr="00372E8E">
        <w:rPr>
          <w:rFonts w:cstheme="minorHAnsi"/>
        </w:rPr>
        <w:t>egającego na szacowaniu szkód i </w:t>
      </w:r>
      <w:r w:rsidRPr="00372E8E">
        <w:rPr>
          <w:rFonts w:cstheme="minorHAnsi"/>
        </w:rPr>
        <w:t>wypłacie odszkodowań za szkody wyrządzone przez dziki, jeleni</w:t>
      </w:r>
      <w:r w:rsidR="00086F43" w:rsidRPr="00372E8E">
        <w:rPr>
          <w:rFonts w:cstheme="minorHAnsi"/>
        </w:rPr>
        <w:t>e, daniele i sarny w uprawach i </w:t>
      </w:r>
      <w:r w:rsidRPr="00372E8E">
        <w:rPr>
          <w:rFonts w:cstheme="minorHAnsi"/>
        </w:rPr>
        <w:t>płodach rolnych na obszarach niewyłączonych z wydzierżawienia obwodów łowieckich, które</w:t>
      </w:r>
      <w:r w:rsidR="00086F43" w:rsidRPr="00372E8E">
        <w:rPr>
          <w:rFonts w:cstheme="minorHAnsi"/>
        </w:rPr>
        <w:t> </w:t>
      </w:r>
      <w:r w:rsidRPr="00372E8E">
        <w:rPr>
          <w:rFonts w:cstheme="minorHAnsi"/>
        </w:rPr>
        <w:t>nie mają dzierżawcy  (należy podkreślić, że PGL Lasy Państwowe realizuje obecnie m.</w:t>
      </w:r>
      <w:r w:rsidR="00CB35CE" w:rsidRPr="00372E8E">
        <w:rPr>
          <w:rFonts w:cstheme="minorHAnsi"/>
        </w:rPr>
        <w:t>in. </w:t>
      </w:r>
      <w:r w:rsidR="00C54B7B">
        <w:rPr>
          <w:rFonts w:cstheme="minorHAnsi"/>
        </w:rPr>
        <w:t>zadanie</w:t>
      </w:r>
      <w:r w:rsidRPr="00372E8E">
        <w:rPr>
          <w:rFonts w:cstheme="minorHAnsi"/>
        </w:rPr>
        <w:t xml:space="preserve"> polegające na szacowaniu szkód łowieckic</w:t>
      </w:r>
      <w:r w:rsidR="00CB35CE" w:rsidRPr="00372E8E">
        <w:rPr>
          <w:rFonts w:cstheme="minorHAnsi"/>
        </w:rPr>
        <w:t xml:space="preserve">h na podstawie zapisów </w:t>
      </w:r>
      <w:r w:rsidR="00CB35CE" w:rsidRPr="00305405">
        <w:rPr>
          <w:rFonts w:cstheme="minorHAnsi"/>
        </w:rPr>
        <w:t>art. 46d </w:t>
      </w:r>
      <w:r w:rsidR="00C54B7B" w:rsidRPr="00305405">
        <w:rPr>
          <w:rFonts w:cstheme="minorHAnsi"/>
        </w:rPr>
        <w:t xml:space="preserve">ustawy  </w:t>
      </w:r>
      <w:r w:rsidRPr="00305405">
        <w:rPr>
          <w:rFonts w:cstheme="minorHAnsi"/>
        </w:rPr>
        <w:t>Prawo łowieckie</w:t>
      </w:r>
      <w:r w:rsidRPr="00372E8E">
        <w:rPr>
          <w:rFonts w:cstheme="minorHAnsi"/>
        </w:rPr>
        <w:t>, czyli w przypadkach wni</w:t>
      </w:r>
      <w:r w:rsidR="00CB35CE" w:rsidRPr="00372E8E">
        <w:rPr>
          <w:rFonts w:cstheme="minorHAnsi"/>
        </w:rPr>
        <w:t>esienia odwołań od oględzin lub </w:t>
      </w:r>
      <w:r w:rsidRPr="00372E8E">
        <w:rPr>
          <w:rFonts w:cstheme="minorHAnsi"/>
        </w:rPr>
        <w:t>szacowania ostatecznego).</w:t>
      </w:r>
    </w:p>
    <w:p w14:paraId="16605A86" w14:textId="0CCBE6EE" w:rsidR="00AD793B" w:rsidRDefault="001F7C47" w:rsidP="00032D5B">
      <w:pPr>
        <w:spacing w:after="240" w:line="360" w:lineRule="auto"/>
        <w:rPr>
          <w:rFonts w:cstheme="minorHAnsi"/>
        </w:rPr>
      </w:pPr>
      <w:r w:rsidRPr="00372E8E">
        <w:rPr>
          <w:rFonts w:cstheme="minorHAnsi"/>
        </w:rPr>
        <w:t>Mając na uwadze powyższe Konwent Marszałków Województw RP postuluje pilne uregulowanie kwestii odpowiedzialności za szkody wyrządzane w uprawach i płodach rolnych przez dziki, jelenie, daniele i sarny na obszarach obwodów łowieckic</w:t>
      </w:r>
      <w:r w:rsidR="00CB35CE" w:rsidRPr="00372E8E">
        <w:rPr>
          <w:rFonts w:cstheme="minorHAnsi"/>
        </w:rPr>
        <w:t xml:space="preserve">h, które nie są wydzierżawione </w:t>
      </w:r>
      <w:r w:rsidRPr="00372E8E">
        <w:rPr>
          <w:rFonts w:cstheme="minorHAnsi"/>
        </w:rPr>
        <w:t>lub przekazane w zarząd, poprzez wprowadzenie stosownych za</w:t>
      </w:r>
      <w:r w:rsidR="008E214D" w:rsidRPr="00372E8E">
        <w:rPr>
          <w:rFonts w:cstheme="minorHAnsi"/>
        </w:rPr>
        <w:t>pisów do </w:t>
      </w:r>
      <w:r w:rsidR="00CB35CE" w:rsidRPr="00372E8E">
        <w:rPr>
          <w:rFonts w:cstheme="minorHAnsi"/>
        </w:rPr>
        <w:t xml:space="preserve">ustawy </w:t>
      </w:r>
      <w:r w:rsidRPr="00372E8E">
        <w:rPr>
          <w:rFonts w:cstheme="minorHAnsi"/>
        </w:rPr>
        <w:t>z dnia 13 października 1995 r. Prawo łowieckie.</w:t>
      </w:r>
    </w:p>
    <w:p w14:paraId="5BE8A028" w14:textId="77777777" w:rsidR="00032D5B" w:rsidRDefault="00032D5B" w:rsidP="00032D5B">
      <w:pPr>
        <w:spacing w:after="240" w:line="360" w:lineRule="auto"/>
        <w:ind w:left="5103"/>
      </w:pPr>
      <w:r>
        <w:t>Marszałek Województwa</w:t>
      </w:r>
    </w:p>
    <w:p w14:paraId="0654F8C0" w14:textId="77777777" w:rsidR="00032D5B" w:rsidRDefault="00032D5B" w:rsidP="00032D5B">
      <w:pPr>
        <w:spacing w:after="240" w:line="360" w:lineRule="auto"/>
        <w:ind w:left="5529"/>
      </w:pPr>
      <w:r>
        <w:t>Marek Woźniak</w:t>
      </w:r>
    </w:p>
    <w:p w14:paraId="22398BBC" w14:textId="77B1E56C" w:rsidR="000B03B0" w:rsidRPr="00372E8E" w:rsidRDefault="000B03B0" w:rsidP="003335A2">
      <w:pPr>
        <w:spacing w:after="360" w:line="360" w:lineRule="auto"/>
        <w:rPr>
          <w:rFonts w:cstheme="minorHAnsi"/>
        </w:rPr>
      </w:pPr>
      <w:bookmarkStart w:id="0" w:name="_GoBack"/>
      <w:bookmarkEnd w:id="0"/>
      <w:r w:rsidRPr="00372E8E">
        <w:rPr>
          <w:rFonts w:cstheme="minorHAnsi"/>
        </w:rPr>
        <w:t>Stanowisko kieruje się do:</w:t>
      </w:r>
    </w:p>
    <w:p w14:paraId="036C56DD" w14:textId="773B1105" w:rsidR="0099479E" w:rsidRPr="00372E8E" w:rsidRDefault="00B9093A" w:rsidP="00372E8E">
      <w:pPr>
        <w:spacing w:line="360" w:lineRule="auto"/>
        <w:rPr>
          <w:rFonts w:cstheme="minorHAnsi"/>
        </w:rPr>
      </w:pPr>
      <w:r w:rsidRPr="00372E8E">
        <w:rPr>
          <w:rFonts w:cstheme="minorHAnsi"/>
        </w:rPr>
        <w:t>Ministra</w:t>
      </w:r>
      <w:r w:rsidR="000B03B0" w:rsidRPr="00372E8E">
        <w:rPr>
          <w:rFonts w:cstheme="minorHAnsi"/>
        </w:rPr>
        <w:t xml:space="preserve"> Klimatu i Środowiska</w:t>
      </w:r>
    </w:p>
    <w:sectPr w:rsidR="0099479E" w:rsidRPr="00372E8E" w:rsidSect="008909DD">
      <w:headerReference w:type="default" r:id="rId7"/>
      <w:footerReference w:type="default" r:id="rId8"/>
      <w:pgSz w:w="11906" w:h="16838"/>
      <w:pgMar w:top="2269" w:right="1133" w:bottom="709" w:left="1418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4F55F" w14:textId="77777777" w:rsidR="00FC78AE" w:rsidRDefault="00FC78AE" w:rsidP="007D24CC">
      <w:r>
        <w:separator/>
      </w:r>
    </w:p>
  </w:endnote>
  <w:endnote w:type="continuationSeparator" w:id="0">
    <w:p w14:paraId="19A182FA" w14:textId="77777777" w:rsidR="00FC78AE" w:rsidRDefault="00FC78AE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3AEAE505" w:rsidR="007D24CC" w:rsidRPr="00A009EE" w:rsidRDefault="007D24CC" w:rsidP="007D24CC">
    <w:pPr>
      <w:rPr>
        <w:b/>
        <w:bCs/>
        <w:color w:val="FFFFFF" w:themeColor="background1"/>
        <w:sz w:val="14"/>
        <w:szCs w:val="14"/>
      </w:rPr>
    </w:pPr>
    <w:r w:rsidRPr="00A009EE">
      <w:rPr>
        <w:b/>
        <w:bCs/>
        <w:color w:val="FFFFFF" w:themeColor="background1"/>
        <w:sz w:val="14"/>
        <w:szCs w:val="14"/>
      </w:rPr>
      <w:t>Urząd Marszałkowski</w:t>
    </w:r>
    <w:r w:rsidRPr="00A009EE">
      <w:rPr>
        <w:b/>
        <w:bCs/>
        <w:color w:val="FFFFFF" w:themeColor="background1"/>
        <w:sz w:val="14"/>
        <w:szCs w:val="14"/>
      </w:rPr>
      <w:tab/>
    </w:r>
    <w:r w:rsidRPr="00A009EE">
      <w:rPr>
        <w:b/>
        <w:bCs/>
        <w:color w:val="FFFFFF" w:themeColor="background1"/>
        <w:sz w:val="14"/>
        <w:szCs w:val="14"/>
      </w:rPr>
      <w:tab/>
    </w:r>
    <w:r w:rsidRPr="00A009EE">
      <w:rPr>
        <w:b/>
        <w:bCs/>
        <w:color w:val="FFFFFF" w:themeColor="background1"/>
        <w:sz w:val="14"/>
        <w:szCs w:val="14"/>
      </w:rPr>
      <w:tab/>
      <w:t xml:space="preserve">             </w:t>
    </w:r>
    <w:r w:rsidR="00C04930" w:rsidRPr="00A009EE">
      <w:rPr>
        <w:b/>
        <w:bCs/>
        <w:color w:val="FFFFFF" w:themeColor="background1"/>
        <w:sz w:val="14"/>
        <w:szCs w:val="14"/>
      </w:rPr>
      <w:t xml:space="preserve"> </w:t>
    </w:r>
  </w:p>
  <w:p w14:paraId="222893BC" w14:textId="79D1A1E7" w:rsidR="007D24CC" w:rsidRPr="00A009EE" w:rsidRDefault="007D24CC" w:rsidP="007D24CC">
    <w:pPr>
      <w:rPr>
        <w:color w:val="FFFFFF" w:themeColor="background1"/>
        <w:sz w:val="14"/>
        <w:szCs w:val="14"/>
      </w:rPr>
    </w:pPr>
    <w:r w:rsidRPr="00A009EE">
      <w:rPr>
        <w:b/>
        <w:bCs/>
        <w:color w:val="FFFFFF" w:themeColor="background1"/>
        <w:sz w:val="14"/>
        <w:szCs w:val="14"/>
      </w:rPr>
      <w:t>Województwa Wielkopolskiego</w:t>
    </w:r>
    <w:r w:rsidR="00C04930" w:rsidRPr="00A009EE">
      <w:rPr>
        <w:b/>
        <w:bCs/>
        <w:color w:val="FFFFFF" w:themeColor="background1"/>
        <w:sz w:val="14"/>
        <w:szCs w:val="14"/>
      </w:rPr>
      <w:t xml:space="preserve"> w Poznaniu</w:t>
    </w:r>
    <w:r w:rsidR="00C04930" w:rsidRPr="00A009EE">
      <w:rPr>
        <w:b/>
        <w:bCs/>
        <w:color w:val="FFFFFF" w:themeColor="background1"/>
        <w:sz w:val="14"/>
        <w:szCs w:val="14"/>
      </w:rPr>
      <w:tab/>
      <w:t xml:space="preserve">              </w:t>
    </w:r>
  </w:p>
  <w:p w14:paraId="09B845BA" w14:textId="315F952E" w:rsidR="007D24CC" w:rsidRPr="00A009EE" w:rsidRDefault="007D24CC" w:rsidP="00A009EE">
    <w:pPr>
      <w:tabs>
        <w:tab w:val="left" w:pos="708"/>
        <w:tab w:val="left" w:pos="1416"/>
        <w:tab w:val="left" w:pos="2124"/>
        <w:tab w:val="left" w:pos="2895"/>
      </w:tabs>
      <w:rPr>
        <w:b/>
        <w:color w:val="FFFFFF" w:themeColor="background1"/>
        <w:sz w:val="14"/>
        <w:szCs w:val="14"/>
      </w:rPr>
    </w:pPr>
    <w:r w:rsidRPr="00A009EE">
      <w:rPr>
        <w:color w:val="FFFFFF" w:themeColor="background1"/>
        <w:sz w:val="14"/>
        <w:szCs w:val="14"/>
      </w:rPr>
      <w:t>al. N</w:t>
    </w:r>
    <w:r w:rsidR="00C04930" w:rsidRPr="00A009EE">
      <w:rPr>
        <w:color w:val="FFFFFF" w:themeColor="background1"/>
        <w:sz w:val="14"/>
        <w:szCs w:val="14"/>
      </w:rPr>
      <w:t>iepodległości 3</w:t>
    </w:r>
    <w:r w:rsidR="00610627" w:rsidRPr="00A009EE">
      <w:rPr>
        <w:color w:val="FFFFFF" w:themeColor="background1"/>
        <w:sz w:val="14"/>
        <w:szCs w:val="14"/>
      </w:rPr>
      <w:t>4, 61-714 Poznań</w:t>
    </w:r>
    <w:r w:rsidR="00610627" w:rsidRPr="00A009EE">
      <w:rPr>
        <w:color w:val="FFFFFF" w:themeColor="background1"/>
        <w:sz w:val="14"/>
        <w:szCs w:val="14"/>
      </w:rPr>
      <w:tab/>
    </w:r>
    <w:r w:rsidR="00A009EE">
      <w:rPr>
        <w:color w:val="FFFFFF" w:themeColor="background1"/>
        <w:sz w:val="14"/>
        <w:szCs w:val="14"/>
      </w:rPr>
      <w:tab/>
    </w:r>
  </w:p>
  <w:p w14:paraId="717B6CF9" w14:textId="3A120A2F" w:rsidR="007D24CC" w:rsidRPr="00A009EE" w:rsidRDefault="00E0672A" w:rsidP="00A60B73">
    <w:pPr>
      <w:ind w:left="3285" w:hanging="3285"/>
      <w:rPr>
        <w:color w:val="FFFFFF" w:themeColor="background1"/>
        <w:sz w:val="14"/>
        <w:szCs w:val="14"/>
      </w:rPr>
    </w:pPr>
    <w:r w:rsidRPr="00A009EE">
      <w:rPr>
        <w:color w:val="FFFFFF" w:themeColor="background1"/>
        <w:sz w:val="14"/>
        <w:szCs w:val="14"/>
      </w:rPr>
      <w:t>tel. 61 626 66 70</w:t>
    </w:r>
    <w:r w:rsidR="0066335C" w:rsidRPr="00A009EE">
      <w:rPr>
        <w:color w:val="FFFFFF" w:themeColor="background1"/>
        <w:sz w:val="14"/>
        <w:szCs w:val="14"/>
      </w:rPr>
      <w:t xml:space="preserve">, </w:t>
    </w:r>
    <w:r w:rsidR="005531F7" w:rsidRPr="00A009EE">
      <w:rPr>
        <w:color w:val="FFFFFF" w:themeColor="background1"/>
        <w:sz w:val="14"/>
        <w:szCs w:val="14"/>
      </w:rPr>
      <w:t>www.konwent.umww.pl</w:t>
    </w:r>
    <w:r w:rsidR="00C04930" w:rsidRPr="00A009EE">
      <w:rPr>
        <w:color w:val="FFFFFF" w:themeColor="background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C3EF6" w14:textId="77777777" w:rsidR="00FC78AE" w:rsidRDefault="00FC78AE" w:rsidP="007D24CC">
      <w:r>
        <w:separator/>
      </w:r>
    </w:p>
  </w:footnote>
  <w:footnote w:type="continuationSeparator" w:id="0">
    <w:p w14:paraId="6343B52A" w14:textId="77777777" w:rsidR="00FC78AE" w:rsidRDefault="00FC78AE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E2D9" w14:textId="5D8C9A00" w:rsidR="00115959" w:rsidRDefault="00AF3BA2">
    <w:pPr>
      <w:pStyle w:val="Nagwek"/>
    </w:pPr>
    <w:r w:rsidRPr="00944F8B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CB57C6D" wp14:editId="551DBB75">
          <wp:simplePos x="0" y="0"/>
          <wp:positionH relativeFrom="margin">
            <wp:posOffset>-139150</wp:posOffset>
          </wp:positionH>
          <wp:positionV relativeFrom="margin">
            <wp:posOffset>-1185930</wp:posOffset>
          </wp:positionV>
          <wp:extent cx="6033673" cy="942975"/>
          <wp:effectExtent l="0" t="0" r="0" b="0"/>
          <wp:wrapSquare wrapText="bothSides"/>
          <wp:docPr id="13" name="Obraz 13" descr="Logo przedstawia szesnaście herbów województw,  umieszczonych w rzędzie. Pod nimi napis: Konwent Marszałków Województw RP. Wielkopolskie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73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127695813"/>
        <w:docPartObj>
          <w:docPartGallery w:val="Page Numbers (Margins)"/>
          <w:docPartUnique/>
        </w:docPartObj>
      </w:sdtPr>
      <w:sdtEndPr/>
      <w:sdtContent>
        <w:r w:rsidR="00115959"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3F5D54FE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3F5D54FE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375F"/>
    <w:rsid w:val="000257F6"/>
    <w:rsid w:val="00032D5B"/>
    <w:rsid w:val="00040DB6"/>
    <w:rsid w:val="00086F43"/>
    <w:rsid w:val="000A5600"/>
    <w:rsid w:val="000B03B0"/>
    <w:rsid w:val="000D0A4E"/>
    <w:rsid w:val="001008A1"/>
    <w:rsid w:val="001046D8"/>
    <w:rsid w:val="00115959"/>
    <w:rsid w:val="00117314"/>
    <w:rsid w:val="00140F72"/>
    <w:rsid w:val="00147349"/>
    <w:rsid w:val="001611F2"/>
    <w:rsid w:val="001650E9"/>
    <w:rsid w:val="00184EA5"/>
    <w:rsid w:val="00195942"/>
    <w:rsid w:val="001C218F"/>
    <w:rsid w:val="001E170A"/>
    <w:rsid w:val="001F22F9"/>
    <w:rsid w:val="001F2660"/>
    <w:rsid w:val="001F4671"/>
    <w:rsid w:val="001F7C47"/>
    <w:rsid w:val="0020143C"/>
    <w:rsid w:val="00221385"/>
    <w:rsid w:val="002245BD"/>
    <w:rsid w:val="002270CA"/>
    <w:rsid w:val="0025429E"/>
    <w:rsid w:val="00273D97"/>
    <w:rsid w:val="0027623F"/>
    <w:rsid w:val="002D3742"/>
    <w:rsid w:val="002D3F14"/>
    <w:rsid w:val="002E4D7C"/>
    <w:rsid w:val="00305405"/>
    <w:rsid w:val="003169B0"/>
    <w:rsid w:val="003311F0"/>
    <w:rsid w:val="00332B7B"/>
    <w:rsid w:val="003335A2"/>
    <w:rsid w:val="00334741"/>
    <w:rsid w:val="00354352"/>
    <w:rsid w:val="00364D17"/>
    <w:rsid w:val="00367388"/>
    <w:rsid w:val="00372E8E"/>
    <w:rsid w:val="00394696"/>
    <w:rsid w:val="003F14FD"/>
    <w:rsid w:val="00400DA9"/>
    <w:rsid w:val="00403443"/>
    <w:rsid w:val="0043416A"/>
    <w:rsid w:val="00452195"/>
    <w:rsid w:val="004607DF"/>
    <w:rsid w:val="004658C3"/>
    <w:rsid w:val="004706A3"/>
    <w:rsid w:val="004A6AB9"/>
    <w:rsid w:val="004A6FC4"/>
    <w:rsid w:val="004B3487"/>
    <w:rsid w:val="004F0BC2"/>
    <w:rsid w:val="005074B9"/>
    <w:rsid w:val="0052141E"/>
    <w:rsid w:val="0052249E"/>
    <w:rsid w:val="00540BA5"/>
    <w:rsid w:val="00546F1E"/>
    <w:rsid w:val="005525AE"/>
    <w:rsid w:val="005531F7"/>
    <w:rsid w:val="00555DEC"/>
    <w:rsid w:val="00562DC8"/>
    <w:rsid w:val="0056314E"/>
    <w:rsid w:val="00565B6F"/>
    <w:rsid w:val="00571E22"/>
    <w:rsid w:val="005A304D"/>
    <w:rsid w:val="005E307C"/>
    <w:rsid w:val="00610376"/>
    <w:rsid w:val="00610627"/>
    <w:rsid w:val="0066335C"/>
    <w:rsid w:val="00663C93"/>
    <w:rsid w:val="00690E3A"/>
    <w:rsid w:val="00692592"/>
    <w:rsid w:val="006A3E35"/>
    <w:rsid w:val="006B707F"/>
    <w:rsid w:val="006F7CEF"/>
    <w:rsid w:val="007071C6"/>
    <w:rsid w:val="007217A0"/>
    <w:rsid w:val="00751A32"/>
    <w:rsid w:val="007664DE"/>
    <w:rsid w:val="00772CA2"/>
    <w:rsid w:val="00773B66"/>
    <w:rsid w:val="00783A9A"/>
    <w:rsid w:val="007A140B"/>
    <w:rsid w:val="007C6457"/>
    <w:rsid w:val="007C6E59"/>
    <w:rsid w:val="007D24CC"/>
    <w:rsid w:val="007F5A58"/>
    <w:rsid w:val="007F60FA"/>
    <w:rsid w:val="007F713C"/>
    <w:rsid w:val="00811238"/>
    <w:rsid w:val="00822E94"/>
    <w:rsid w:val="00830427"/>
    <w:rsid w:val="00830F87"/>
    <w:rsid w:val="00837A41"/>
    <w:rsid w:val="00846FF4"/>
    <w:rsid w:val="008811C8"/>
    <w:rsid w:val="008825C6"/>
    <w:rsid w:val="008909DD"/>
    <w:rsid w:val="008A08DE"/>
    <w:rsid w:val="008A5EAE"/>
    <w:rsid w:val="008C651D"/>
    <w:rsid w:val="008C75CE"/>
    <w:rsid w:val="008D11A6"/>
    <w:rsid w:val="008E214D"/>
    <w:rsid w:val="008F65B9"/>
    <w:rsid w:val="008F6D34"/>
    <w:rsid w:val="009341AA"/>
    <w:rsid w:val="00944F8B"/>
    <w:rsid w:val="009664C8"/>
    <w:rsid w:val="00990339"/>
    <w:rsid w:val="00991F03"/>
    <w:rsid w:val="0099479E"/>
    <w:rsid w:val="0099745A"/>
    <w:rsid w:val="009A0DFC"/>
    <w:rsid w:val="009B6E26"/>
    <w:rsid w:val="009C171F"/>
    <w:rsid w:val="009C4A73"/>
    <w:rsid w:val="009D6D90"/>
    <w:rsid w:val="009E6B77"/>
    <w:rsid w:val="009F2F4E"/>
    <w:rsid w:val="009F50C1"/>
    <w:rsid w:val="00A009EE"/>
    <w:rsid w:val="00A02923"/>
    <w:rsid w:val="00A03F8A"/>
    <w:rsid w:val="00A16D99"/>
    <w:rsid w:val="00A244DF"/>
    <w:rsid w:val="00A44039"/>
    <w:rsid w:val="00A60B73"/>
    <w:rsid w:val="00AD793B"/>
    <w:rsid w:val="00AE29AE"/>
    <w:rsid w:val="00AF3BA2"/>
    <w:rsid w:val="00AF6728"/>
    <w:rsid w:val="00B03590"/>
    <w:rsid w:val="00B20EA0"/>
    <w:rsid w:val="00B54393"/>
    <w:rsid w:val="00B62794"/>
    <w:rsid w:val="00B658F0"/>
    <w:rsid w:val="00B660CE"/>
    <w:rsid w:val="00B9093A"/>
    <w:rsid w:val="00BB6771"/>
    <w:rsid w:val="00BD5D2D"/>
    <w:rsid w:val="00BF1061"/>
    <w:rsid w:val="00BF5307"/>
    <w:rsid w:val="00C017F3"/>
    <w:rsid w:val="00C04930"/>
    <w:rsid w:val="00C47F82"/>
    <w:rsid w:val="00C52659"/>
    <w:rsid w:val="00C54B7B"/>
    <w:rsid w:val="00CA6447"/>
    <w:rsid w:val="00CB35CE"/>
    <w:rsid w:val="00CB7DDB"/>
    <w:rsid w:val="00CD3D2F"/>
    <w:rsid w:val="00CD762C"/>
    <w:rsid w:val="00CF04EC"/>
    <w:rsid w:val="00CF4DA4"/>
    <w:rsid w:val="00D0069F"/>
    <w:rsid w:val="00D07004"/>
    <w:rsid w:val="00D239D4"/>
    <w:rsid w:val="00D511E5"/>
    <w:rsid w:val="00D905E8"/>
    <w:rsid w:val="00D9369D"/>
    <w:rsid w:val="00DB1998"/>
    <w:rsid w:val="00DB762A"/>
    <w:rsid w:val="00DC6B79"/>
    <w:rsid w:val="00DD4868"/>
    <w:rsid w:val="00DD790F"/>
    <w:rsid w:val="00DF7393"/>
    <w:rsid w:val="00E0672A"/>
    <w:rsid w:val="00E07D66"/>
    <w:rsid w:val="00E232D4"/>
    <w:rsid w:val="00E243C6"/>
    <w:rsid w:val="00E349B5"/>
    <w:rsid w:val="00E401B3"/>
    <w:rsid w:val="00E45FD1"/>
    <w:rsid w:val="00E56452"/>
    <w:rsid w:val="00E56A7E"/>
    <w:rsid w:val="00E600CA"/>
    <w:rsid w:val="00E609FD"/>
    <w:rsid w:val="00E7021B"/>
    <w:rsid w:val="00E71505"/>
    <w:rsid w:val="00E768AF"/>
    <w:rsid w:val="00E82864"/>
    <w:rsid w:val="00E8356D"/>
    <w:rsid w:val="00EA69BE"/>
    <w:rsid w:val="00F46C0C"/>
    <w:rsid w:val="00F53F1B"/>
    <w:rsid w:val="00F63FD3"/>
    <w:rsid w:val="00F64F3A"/>
    <w:rsid w:val="00F721D8"/>
    <w:rsid w:val="00F95E0C"/>
    <w:rsid w:val="00FB24B4"/>
    <w:rsid w:val="00FB59BE"/>
    <w:rsid w:val="00FC78AE"/>
    <w:rsid w:val="00FF1012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663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5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20EA0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0EA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150B-CA7A-4D20-BB6E-4404D709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konwent</vt:lpstr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konwent</dc:title>
  <dc:subject/>
  <dc:creator>Sklepik Katarzyna</dc:creator>
  <cp:keywords/>
  <dc:description/>
  <cp:lastModifiedBy>Wejmann Aneta</cp:lastModifiedBy>
  <cp:revision>2</cp:revision>
  <cp:lastPrinted>2023-03-22T14:03:00Z</cp:lastPrinted>
  <dcterms:created xsi:type="dcterms:W3CDTF">2023-03-31T10:59:00Z</dcterms:created>
  <dcterms:modified xsi:type="dcterms:W3CDTF">2023-03-31T10:59:00Z</dcterms:modified>
</cp:coreProperties>
</file>